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70864" w14:textId="77777777" w:rsidR="00DD46CE" w:rsidRDefault="00DD46CE">
      <w:pPr>
        <w:pBdr>
          <w:top w:val="nil"/>
          <w:left w:val="nil"/>
          <w:bottom w:val="nil"/>
          <w:right w:val="nil"/>
          <w:between w:val="nil"/>
        </w:pBdr>
        <w:spacing w:line="276" w:lineRule="auto"/>
        <w:rPr>
          <w:rFonts w:ascii="Arial" w:eastAsia="Arial" w:hAnsi="Arial" w:cs="Arial"/>
          <w:color w:val="000000"/>
          <w:sz w:val="22"/>
          <w:szCs w:val="22"/>
        </w:rPr>
      </w:pPr>
    </w:p>
    <w:tbl>
      <w:tblPr>
        <w:tblStyle w:val="a"/>
        <w:tblW w:w="982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828"/>
      </w:tblGrid>
      <w:tr w:rsidR="00DD46CE" w14:paraId="5746F43A" w14:textId="77777777">
        <w:tc>
          <w:tcPr>
            <w:tcW w:w="9828" w:type="dxa"/>
            <w:shd w:val="clear" w:color="auto" w:fill="E0E0E0"/>
          </w:tcPr>
          <w:p w14:paraId="6FF9A54A" w14:textId="77777777" w:rsidR="00DD46CE" w:rsidRDefault="002674CD">
            <w:pPr>
              <w:spacing w:before="120" w:after="120"/>
              <w:rPr>
                <w:sz w:val="24"/>
                <w:szCs w:val="24"/>
              </w:rPr>
            </w:pPr>
            <w:r>
              <w:rPr>
                <w:b/>
                <w:sz w:val="24"/>
                <w:szCs w:val="24"/>
              </w:rPr>
              <w:t>Standard 8</w:t>
            </w:r>
            <w:r>
              <w:rPr>
                <w:b/>
                <w:sz w:val="24"/>
                <w:szCs w:val="24"/>
              </w:rPr>
              <w:t>: Assessment and progress of students</w:t>
            </w:r>
          </w:p>
        </w:tc>
      </w:tr>
      <w:tr w:rsidR="00DD46CE" w14:paraId="4DC310A1" w14:textId="77777777">
        <w:tc>
          <w:tcPr>
            <w:tcW w:w="9828" w:type="dxa"/>
          </w:tcPr>
          <w:p w14:paraId="58144816" w14:textId="77777777" w:rsidR="00DD46CE" w:rsidRDefault="002674CD">
            <w:pPr>
              <w:spacing w:before="120" w:after="120"/>
              <w:jc w:val="both"/>
              <w:rPr>
                <w:sz w:val="24"/>
                <w:szCs w:val="24"/>
              </w:rPr>
            </w:pPr>
            <w:r>
              <w:rPr>
                <w:sz w:val="24"/>
                <w:szCs w:val="24"/>
              </w:rPr>
              <w:t xml:space="preserve">General principles of the assessment system of the study program </w:t>
            </w:r>
            <w:r>
              <w:rPr>
                <w:b/>
                <w:sz w:val="24"/>
                <w:szCs w:val="24"/>
              </w:rPr>
              <w:t>Advanced Data Analytics</w:t>
            </w:r>
            <w:r>
              <w:rPr>
                <w:sz w:val="24"/>
                <w:szCs w:val="24"/>
              </w:rPr>
              <w:t xml:space="preserve"> at the graduate academic studies at the University of Belgrade inclu</w:t>
            </w:r>
            <w:bookmarkStart w:id="0" w:name="_GoBack"/>
            <w:bookmarkEnd w:id="0"/>
            <w:r>
              <w:rPr>
                <w:sz w:val="24"/>
                <w:szCs w:val="24"/>
              </w:rPr>
              <w:t>de:</w:t>
            </w:r>
          </w:p>
          <w:p w14:paraId="1D1E46DE"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Point-based assessment and grading</w:t>
            </w:r>
            <w:r>
              <w:rPr>
                <w:color w:val="000000"/>
                <w:sz w:val="24"/>
                <w:szCs w:val="24"/>
              </w:rPr>
              <w:t xml:space="preserve">. All student's activities in a course are graded with a certain number of points (see below). The maximum total number of points that can be earned </w:t>
            </w:r>
            <w:r>
              <w:rPr>
                <w:color w:val="000000"/>
                <w:sz w:val="24"/>
                <w:szCs w:val="24"/>
              </w:rPr>
              <w:t>for a course is 100.</w:t>
            </w:r>
          </w:p>
          <w:p w14:paraId="2D916214"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Continuous assessment</w:t>
            </w:r>
            <w:r>
              <w:rPr>
                <w:color w:val="000000"/>
                <w:sz w:val="24"/>
                <w:szCs w:val="24"/>
              </w:rPr>
              <w:t>. Due to the small group of students (35), observation of the continuity of work of each individual student in each course is assumed. The students are required to present evidence of their work regularly in discussions with the teachers (individually or i</w:t>
            </w:r>
            <w:r>
              <w:rPr>
                <w:color w:val="000000"/>
                <w:sz w:val="24"/>
                <w:szCs w:val="24"/>
              </w:rPr>
              <w:t>n small groups). This way, each student can attain up to 10 points (out of max 100 points for each course). In addition, for each course there is a possibility to organize lab tests and/or projects arbitrarily (the students can take two lab tests or they c</w:t>
            </w:r>
            <w:r>
              <w:rPr>
                <w:color w:val="000000"/>
                <w:sz w:val="24"/>
                <w:szCs w:val="24"/>
              </w:rPr>
              <w:t>an do two projects, individually or in groups). One lab test / project can bring up to 15 points.</w:t>
            </w:r>
          </w:p>
          <w:p w14:paraId="3D6C7248"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Progress assessment</w:t>
            </w:r>
            <w:r>
              <w:rPr>
                <w:color w:val="000000"/>
                <w:sz w:val="24"/>
                <w:szCs w:val="24"/>
              </w:rPr>
              <w:t>. Personal commitment and initiative are assessed with special attention, which is evaluated by the progress "gradient". The students who p</w:t>
            </w:r>
            <w:r>
              <w:rPr>
                <w:color w:val="000000"/>
                <w:sz w:val="24"/>
                <w:szCs w:val="24"/>
              </w:rPr>
              <w:t>rogress quickly and are more committed to group projects can achieve more points. The maximum number of points that can be achieved in this way is 10.</w:t>
            </w:r>
          </w:p>
          <w:p w14:paraId="046905E8"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Assessment of practical work</w:t>
            </w:r>
            <w:r>
              <w:rPr>
                <w:color w:val="000000"/>
                <w:sz w:val="24"/>
                <w:szCs w:val="24"/>
              </w:rPr>
              <w:t>. High quality of a student’s practical individual work (assignments, individ</w:t>
            </w:r>
            <w:r>
              <w:rPr>
                <w:color w:val="000000"/>
                <w:sz w:val="24"/>
                <w:szCs w:val="24"/>
              </w:rPr>
              <w:t>ual projects) can bring the student maximum 30 points.</w:t>
            </w:r>
          </w:p>
          <w:p w14:paraId="4C144F46"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Final exam</w:t>
            </w:r>
            <w:r>
              <w:rPr>
                <w:color w:val="000000"/>
                <w:sz w:val="24"/>
                <w:szCs w:val="24"/>
              </w:rPr>
              <w:t>. Final exam brings maximum 30 points.</w:t>
            </w:r>
          </w:p>
          <w:p w14:paraId="423220E6"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Assessment of the students’ research activities</w:t>
            </w:r>
            <w:r>
              <w:rPr>
                <w:color w:val="000000"/>
                <w:sz w:val="24"/>
                <w:szCs w:val="24"/>
              </w:rPr>
              <w:t>. The maximum number of points that can be earned through all these previous items is 100. Students' rese</w:t>
            </w:r>
            <w:r>
              <w:rPr>
                <w:color w:val="000000"/>
                <w:sz w:val="24"/>
                <w:szCs w:val="24"/>
              </w:rPr>
              <w:t xml:space="preserve">arch activities are not mandatory, but if a student expresses research interests, preferences, or potentials by taking part in such activities and achieving appropriate research results (e.g. a research publication) it can compensate for maximum 10 points </w:t>
            </w:r>
            <w:r>
              <w:rPr>
                <w:color w:val="000000"/>
                <w:sz w:val="24"/>
                <w:szCs w:val="24"/>
              </w:rPr>
              <w:t>lacking from previous items.</w:t>
            </w:r>
          </w:p>
          <w:p w14:paraId="1824E3AF"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Assessment of the students’</w:t>
            </w:r>
            <w:r>
              <w:rPr>
                <w:color w:val="000000"/>
                <w:sz w:val="24"/>
                <w:szCs w:val="24"/>
              </w:rPr>
              <w:t xml:space="preserve"> </w:t>
            </w:r>
            <w:r>
              <w:rPr>
                <w:i/>
                <w:color w:val="000000"/>
                <w:sz w:val="24"/>
                <w:szCs w:val="24"/>
              </w:rPr>
              <w:t xml:space="preserve">independent practical activities </w:t>
            </w:r>
            <w:r>
              <w:rPr>
                <w:color w:val="000000"/>
                <w:sz w:val="24"/>
                <w:szCs w:val="24"/>
              </w:rPr>
              <w:t>(outside the compulsory scope that has been planned for the course). None of these activities are compulsory, but they can also compensate for maximum 10 points lacki</w:t>
            </w:r>
            <w:r>
              <w:rPr>
                <w:color w:val="000000"/>
                <w:sz w:val="24"/>
                <w:szCs w:val="24"/>
              </w:rPr>
              <w:t>ng from previous items, much like students' research activities.</w:t>
            </w:r>
          </w:p>
          <w:p w14:paraId="5A3F7907" w14:textId="77777777" w:rsidR="00DD46CE" w:rsidRDefault="002674CD">
            <w:pPr>
              <w:widowControl/>
              <w:numPr>
                <w:ilvl w:val="0"/>
                <w:numId w:val="1"/>
              </w:numPr>
              <w:pBdr>
                <w:top w:val="nil"/>
                <w:left w:val="nil"/>
                <w:bottom w:val="nil"/>
                <w:right w:val="nil"/>
                <w:between w:val="nil"/>
              </w:pBdr>
              <w:jc w:val="both"/>
              <w:rPr>
                <w:color w:val="000000"/>
                <w:sz w:val="24"/>
                <w:szCs w:val="24"/>
              </w:rPr>
            </w:pPr>
            <w:r>
              <w:rPr>
                <w:i/>
                <w:color w:val="000000"/>
                <w:sz w:val="24"/>
                <w:szCs w:val="24"/>
              </w:rPr>
              <w:t>Calculation of the final grade</w:t>
            </w:r>
            <w:r>
              <w:rPr>
                <w:color w:val="000000"/>
                <w:sz w:val="24"/>
                <w:szCs w:val="24"/>
              </w:rPr>
              <w:t xml:space="preserve">. A student can earn the maximum of 100 points through all these described activities. It is necessary to earn at least 51 points in total to pass the exam. For </w:t>
            </w:r>
            <w:r>
              <w:rPr>
                <w:color w:val="000000"/>
                <w:sz w:val="24"/>
                <w:szCs w:val="24"/>
              </w:rPr>
              <w:t>51-60 points earned, the grade 6 is assigned, for 61-70 points the grade is 7, for 71-80 points the grade is 8, for 81-90 points the grade is 9, and for 91-100 points the grade is 10 (the highest grade).</w:t>
            </w:r>
          </w:p>
          <w:p w14:paraId="5012F42F" w14:textId="77777777" w:rsidR="00DD46CE" w:rsidRDefault="002674CD">
            <w:pPr>
              <w:widowControl/>
              <w:numPr>
                <w:ilvl w:val="0"/>
                <w:numId w:val="1"/>
              </w:numPr>
              <w:pBdr>
                <w:top w:val="nil"/>
                <w:left w:val="nil"/>
                <w:bottom w:val="nil"/>
                <w:right w:val="nil"/>
                <w:between w:val="nil"/>
              </w:pBdr>
              <w:spacing w:after="120"/>
              <w:jc w:val="both"/>
              <w:rPr>
                <w:color w:val="000000"/>
                <w:sz w:val="24"/>
                <w:szCs w:val="24"/>
              </w:rPr>
            </w:pPr>
            <w:r>
              <w:rPr>
                <w:i/>
                <w:color w:val="000000"/>
                <w:sz w:val="24"/>
                <w:szCs w:val="24"/>
              </w:rPr>
              <w:t>Internship, the compulsory qualification paper (term</w:t>
            </w:r>
            <w:r>
              <w:rPr>
                <w:i/>
                <w:color w:val="000000"/>
                <w:sz w:val="24"/>
                <w:szCs w:val="24"/>
              </w:rPr>
              <w:t xml:space="preserve"> paper) and master thesis</w:t>
            </w:r>
            <w:r>
              <w:rPr>
                <w:color w:val="000000"/>
                <w:sz w:val="24"/>
                <w:szCs w:val="24"/>
              </w:rPr>
              <w:t>. The master thesis has to be based on a practical data analytics project. The qualification paper and the master thesis, together with the mandatory internship, bring the total of 30 ECTS credits.</w:t>
            </w:r>
          </w:p>
          <w:p w14:paraId="022E8578" w14:textId="77777777" w:rsidR="00DD46CE" w:rsidRDefault="002674CD">
            <w:pPr>
              <w:spacing w:before="120" w:after="120"/>
              <w:jc w:val="both"/>
              <w:rPr>
                <w:sz w:val="24"/>
                <w:szCs w:val="24"/>
              </w:rPr>
            </w:pPr>
            <w:r>
              <w:rPr>
                <w:sz w:val="24"/>
                <w:szCs w:val="24"/>
              </w:rPr>
              <w:t>In addition to these general prin</w:t>
            </w:r>
            <w:r>
              <w:rPr>
                <w:sz w:val="24"/>
                <w:szCs w:val="24"/>
              </w:rPr>
              <w:t>ciples, assessment of each course has its own specific features (see individual course descriptions, Standard 5).</w:t>
            </w:r>
          </w:p>
        </w:tc>
      </w:tr>
      <w:tr w:rsidR="00DD46CE" w14:paraId="7634010F" w14:textId="77777777">
        <w:trPr>
          <w:trHeight w:val="620"/>
        </w:trPr>
        <w:tc>
          <w:tcPr>
            <w:tcW w:w="9828" w:type="dxa"/>
          </w:tcPr>
          <w:p w14:paraId="4F61C7A2" w14:textId="77777777" w:rsidR="00DD46CE" w:rsidRDefault="002674CD">
            <w:pPr>
              <w:spacing w:before="120"/>
              <w:rPr>
                <w:sz w:val="24"/>
                <w:szCs w:val="24"/>
              </w:rPr>
            </w:pPr>
            <w:bookmarkStart w:id="1" w:name="_gjdgxs" w:colFirst="0" w:colLast="0"/>
            <w:bookmarkEnd w:id="1"/>
            <w:proofErr w:type="spellStart"/>
            <w:r>
              <w:rPr>
                <w:b/>
                <w:sz w:val="24"/>
                <w:szCs w:val="24"/>
              </w:rPr>
              <w:t>Прилог</w:t>
            </w:r>
            <w:proofErr w:type="spellEnd"/>
            <w:r>
              <w:rPr>
                <w:b/>
                <w:sz w:val="24"/>
                <w:szCs w:val="24"/>
              </w:rPr>
              <w:t xml:space="preserve"> 8.1:</w:t>
            </w:r>
            <w:r>
              <w:rPr>
                <w:sz w:val="24"/>
                <w:szCs w:val="24"/>
              </w:rPr>
              <w:t xml:space="preserve"> </w:t>
            </w:r>
            <w:hyperlink r:id="rId5">
              <w:proofErr w:type="spellStart"/>
              <w:r>
                <w:rPr>
                  <w:color w:val="0000FF"/>
                  <w:sz w:val="24"/>
                  <w:szCs w:val="24"/>
                  <w:u w:val="single"/>
                </w:rPr>
                <w:t>Правилник</w:t>
              </w:r>
              <w:proofErr w:type="spellEnd"/>
              <w:r>
                <w:rPr>
                  <w:color w:val="0000FF"/>
                  <w:sz w:val="24"/>
                  <w:szCs w:val="24"/>
                  <w:u w:val="single"/>
                </w:rPr>
                <w:t xml:space="preserve"> о </w:t>
              </w:r>
              <w:proofErr w:type="spellStart"/>
              <w:r>
                <w:rPr>
                  <w:color w:val="0000FF"/>
                  <w:sz w:val="24"/>
                  <w:szCs w:val="24"/>
                  <w:u w:val="single"/>
                </w:rPr>
                <w:t>полагању</w:t>
              </w:r>
              <w:proofErr w:type="spellEnd"/>
              <w:r>
                <w:rPr>
                  <w:color w:val="0000FF"/>
                  <w:sz w:val="24"/>
                  <w:szCs w:val="24"/>
                  <w:u w:val="single"/>
                </w:rPr>
                <w:t xml:space="preserve"> </w:t>
              </w:r>
              <w:proofErr w:type="spellStart"/>
              <w:r>
                <w:rPr>
                  <w:color w:val="0000FF"/>
                  <w:sz w:val="24"/>
                  <w:szCs w:val="24"/>
                  <w:u w:val="single"/>
                </w:rPr>
                <w:t>испита</w:t>
              </w:r>
              <w:proofErr w:type="spellEnd"/>
              <w:r>
                <w:rPr>
                  <w:color w:val="0000FF"/>
                  <w:sz w:val="24"/>
                  <w:szCs w:val="24"/>
                  <w:u w:val="single"/>
                </w:rPr>
                <w:t xml:space="preserve"> и </w:t>
              </w:r>
              <w:proofErr w:type="spellStart"/>
              <w:r>
                <w:rPr>
                  <w:color w:val="0000FF"/>
                  <w:sz w:val="24"/>
                  <w:szCs w:val="24"/>
                  <w:u w:val="single"/>
                </w:rPr>
                <w:t>оцењивању</w:t>
              </w:r>
              <w:proofErr w:type="spellEnd"/>
              <w:r>
                <w:rPr>
                  <w:color w:val="0000FF"/>
                  <w:sz w:val="24"/>
                  <w:szCs w:val="24"/>
                  <w:u w:val="single"/>
                </w:rPr>
                <w:t xml:space="preserve"> </w:t>
              </w:r>
              <w:proofErr w:type="spellStart"/>
              <w:r>
                <w:rPr>
                  <w:color w:val="0000FF"/>
                  <w:sz w:val="24"/>
                  <w:szCs w:val="24"/>
                  <w:u w:val="single"/>
                </w:rPr>
                <w:t>на</w:t>
              </w:r>
              <w:proofErr w:type="spellEnd"/>
              <w:r>
                <w:rPr>
                  <w:color w:val="0000FF"/>
                  <w:sz w:val="24"/>
                  <w:szCs w:val="24"/>
                  <w:u w:val="single"/>
                </w:rPr>
                <w:t xml:space="preserve"> </w:t>
              </w:r>
              <w:proofErr w:type="spellStart"/>
              <w:r>
                <w:rPr>
                  <w:color w:val="0000FF"/>
                  <w:sz w:val="24"/>
                  <w:szCs w:val="24"/>
                  <w:u w:val="single"/>
                </w:rPr>
                <w:t>испиту</w:t>
              </w:r>
              <w:proofErr w:type="spellEnd"/>
            </w:hyperlink>
          </w:p>
          <w:p w14:paraId="753465D8" w14:textId="77777777" w:rsidR="00DD46CE" w:rsidRDefault="002674CD">
            <w:pPr>
              <w:spacing w:after="120"/>
              <w:rPr>
                <w:sz w:val="24"/>
                <w:szCs w:val="24"/>
              </w:rPr>
            </w:pPr>
            <w:proofErr w:type="spellStart"/>
            <w:r>
              <w:rPr>
                <w:b/>
                <w:sz w:val="24"/>
                <w:szCs w:val="24"/>
              </w:rPr>
              <w:t>Прилог</w:t>
            </w:r>
            <w:proofErr w:type="spellEnd"/>
            <w:r>
              <w:rPr>
                <w:b/>
                <w:sz w:val="24"/>
                <w:szCs w:val="24"/>
              </w:rPr>
              <w:t xml:space="preserve"> 8.2:</w:t>
            </w:r>
            <w:r>
              <w:rPr>
                <w:sz w:val="24"/>
                <w:szCs w:val="24"/>
              </w:rPr>
              <w:t xml:space="preserve"> </w:t>
            </w:r>
            <w:hyperlink r:id="rId6">
              <w:proofErr w:type="spellStart"/>
              <w:r>
                <w:rPr>
                  <w:color w:val="0000FF"/>
                  <w:sz w:val="24"/>
                  <w:szCs w:val="24"/>
                  <w:u w:val="single"/>
                </w:rPr>
                <w:t>Књига</w:t>
              </w:r>
              <w:proofErr w:type="spellEnd"/>
              <w:r>
                <w:rPr>
                  <w:color w:val="0000FF"/>
                  <w:sz w:val="24"/>
                  <w:szCs w:val="24"/>
                  <w:u w:val="single"/>
                </w:rPr>
                <w:t xml:space="preserve"> </w:t>
              </w:r>
              <w:proofErr w:type="spellStart"/>
              <w:r>
                <w:rPr>
                  <w:color w:val="0000FF"/>
                  <w:sz w:val="24"/>
                  <w:szCs w:val="24"/>
                  <w:u w:val="single"/>
                </w:rPr>
                <w:t>предмета</w:t>
              </w:r>
              <w:proofErr w:type="spellEnd"/>
            </w:hyperlink>
          </w:p>
        </w:tc>
      </w:tr>
    </w:tbl>
    <w:p w14:paraId="44198460" w14:textId="77777777" w:rsidR="00DD46CE" w:rsidRDefault="00DD46CE"/>
    <w:sectPr w:rsidR="00DD46CE">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14626A"/>
    <w:multiLevelType w:val="multilevel"/>
    <w:tmpl w:val="767618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6CE"/>
    <w:rsid w:val="002674CD"/>
    <w:rsid w:val="00DD4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020B0"/>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674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4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ilozi/P-5-2%20Knjiga%20predmeta.pdf" TargetMode="External"/><Relationship Id="rId5" Type="http://schemas.openxmlformats.org/officeDocument/2006/relationships/hyperlink" Target="http://../prilozi/P-8-1%20Pravilnik%20o%20polaganju%20ispit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500</Words>
  <Characters>2853</Characters>
  <Application>Microsoft Office Word</Application>
  <DocSecurity>0</DocSecurity>
  <Lines>23</Lines>
  <Paragraphs>6</Paragraphs>
  <ScaleCrop>false</ScaleCrop>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2019-04-16T12:29:00Z</dcterms:created>
  <dcterms:modified xsi:type="dcterms:W3CDTF">2019-04-16T12:29:00Z</dcterms:modified>
</cp:coreProperties>
</file>